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30 vom 5. Februar 2026</w:t>
      </w:r>
    </w:p>
    <w:p>
      <w:r>
        <w:t>FR Kantonsgericht, 2026-02-05, FR</w:t>
      </w:r>
    </w:p>
    <w:p>
      <w:r>
        <w:rPr>
          <w:b/>
        </w:rPr>
        <w:t xml:space="preserve">Quelle: </w:t>
      </w:r>
      <w:r>
        <w:t>https://mcp.opencaselaw.ch/entscheid/fr_gerichte_605 2025 30</w:t>
      </w:r>
    </w:p>
    <w:p>
      <w:r>
        <w:t>FR: FR_GERICHTE 605 2025 30 du 5 février 2026</w:t>
      </w:r>
    </w:p>
    <w:p>
      <w:r>
        <w:t>IT: FR_GERICHTE 605 2025 30 del 5 febbraio 2026</w:t>
      </w:r>
    </w:p>
    <w:p>
      <w:pPr>
        <w:pStyle w:val="Heading2"/>
      </w:pPr>
      <w:r>
        <w:t>Erwägungen</w:t>
      </w:r>
    </w:p>
    <w:p>
      <w:r>
        <w:rPr>
          <w:b/>
        </w:rPr>
        <w:t>E. 1</w:t>
      </w:r>
    </w:p>
    <w:p>
      <w:r>
        <w:t>Recevabilité Interjeté en temps utile et dans les formes légales auprès de l'autorité judiciaire compétente à raison du lieu et de la matière par un assuré dûment représenté et directement touché par la décision sur opposition attaquée, le recours est recevable.</w:t>
      </w:r>
    </w:p>
    <w:p>
      <w:r>
        <w:rPr>
          <w:b/>
        </w:rPr>
        <w:t>E. 2</w:t>
      </w:r>
    </w:p>
    <w:p>
      <w:r>
        <w:t>Droit à la rente Dans le catalogue des prestations de l'assurance-accidents figurent notamment le droit au traitement médical (art. 10 et 54 de la loi du 20 mars 1981 sur l'assurance-accidents [LAA; RS 832.20]), le droit à l'indemnité journalière (art. 16 LAA), le droit à une rente d'invalidité (art. 18 et 19 LAA) et le droit à une indemnité pour atteinte à l’intégrité (art. 24 et 25 LAA).</w:t>
      </w:r>
    </w:p>
    <w:p>
      <w:r>
        <w:rPr>
          <w:b/>
        </w:rPr>
        <w:t>E. 2.1</w:t>
      </w:r>
    </w:p>
    <w:p>
      <w:r>
        <w:t>Selon l’art. 16 al. 1 LAA, l'assuré totalement ou partiellement incapable de travailler (art. 6 de la loi fédérale du 6 octobre 2000 sur la partie générale du droit des assurances sociales [LPGA; RS 830.1])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w:t>
      </w:r>
    </w:p>
    <w:p>
      <w:r>
        <w:rPr>
          <w:b/>
        </w:rPr>
        <w:t>E. 2.2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w:t>
      </w:r>
    </w:p>
    <w:p>
      <w:r>
        <w:rPr>
          <w:b/>
        </w:rPr>
        <w:t>E. 3</w:t>
      </w:r>
    </w:p>
    <w:p>
      <w:r>
        <w:t>Règles relatives au calcul de la rente – abattement pour cause de désavantage salarial Selon l'art. 18 al. 1 LAA, l'assuré a droit à une rente d'invalidité s'il est invalide à 10 % au moins par suite d'un accident.</w:t>
      </w:r>
    </w:p>
    <w:p>
      <w:r>
        <w:rPr>
          <w:b/>
        </w:rPr>
        <w:t>E. 3.1</w:t>
      </w:r>
    </w:p>
    <w:p>
      <w:r>
        <w:t>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(art. 16 LPGA).</w:t>
      </w:r>
    </w:p>
    <w:p>
      <w:r>
        <w:t>Tribunal cantonal TC Page 4 de 8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Le critère décisif est de savoir quel est le gain que l'assuré est capable de réaliser en dépit des séquelles accidentelles et en faisant les efforts exigibles (RAMA 1993 n° U 168 p. 97 consid. 3b).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w:t>
      </w:r>
    </w:p>
    <w:p>
      <w:r>
        <w:rPr>
          <w:b/>
        </w:rPr>
        <w:t>E. 3.4</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rPr>
          <w:b/>
        </w:rPr>
        <w:t>E. 3.4.1</w:t>
      </w:r>
    </w:p>
    <w:p>
      <w:r>
        <w:t>Aux fins de déterminer le revenu d'invalide, les salaires fixés sur la base des données statistiques de l'ESS peuvent à certaines conditions faire l'objet d'un abattement de 25 % au plus.</w:t>
      </w:r>
    </w:p>
    <w:p>
      <w:r>
        <w:rPr>
          <w:b/>
        </w:rPr>
        <w:t>E. 3.4.2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w:t>
      </w:r>
    </w:p>
    <w:p>
      <w:r>
        <w:t>Tribunal cantonal TC Page 5 de 8 pouvoir d'appréciation, des effets de ces facteurs sur le revenu d'invalide, compte tenu de l'ensemble des circonstances du cas concret (arrêt TF 8C_175/2020 du 22 septembre 2020 consid. 3.2 s. et les références citées). A cet effet, l'administration jouit d'un large pouvoir d'appréciation et le juge ne peut s'en écarter et y substituer son appréciation sans motif pertinent (arrêt TF I 724/2002 du 10 janvier 2003; ATF 126 V 75).</w:t>
      </w:r>
    </w:p>
    <w:p>
      <w:r>
        <w:rPr>
          <w:b/>
        </w:rPr>
        <w:t>E. 3.4.3</w:t>
      </w:r>
    </w:p>
    <w:p>
      <w:r>
        <w:t>Une telle déduction ne doit, cela étant, pas être opérée automatiquement, mais seulement lorsqu'il existe des indices qu'en raison d'un ou de plusieurs facteurs, l'intéressé ne peut mettre en valeur sa capacité résiduelle de travail sur le marché du travail qu'avec un résultat économique inférieur à la moyenne (arrêt TF 8C_608/2021 du 26 avril 2022 consid. 3.2 et les références citées). S’agissant de l'absence d'expérience et de formation, le Tribunal fédéral a précisé qu’elle ne joue pas de rôle lorsque le revenu d'invalide a été déterminé en référence au salaire statistique auquel peuvent prétendre les hommes effectuant des activités simples et répétitives (arrêt TF 9C_847/2018 du 2 avril 2019 consid. 6.2.3 et les références).</w:t>
      </w:r>
    </w:p>
    <w:p>
      <w:r>
        <w:rPr>
          <w:b/>
        </w:rPr>
        <w:t>E. 3.5</w:t>
      </w:r>
    </w:p>
    <w:p>
      <w:r>
        <w:t>Dans des jugements récents (arrêts TC FR 605 2024 48 du 7 octobre 2025 consid. 8.3 ; 605 2024 121 du 30 janvier 2026 consid. 6.2), la Cour de céans a eu l’occasion de préciser que l’art. 26bis al. 3 du règlement du 17 janvier 1961 sur l’assurance-invalidité (RAI; RS 831.201) prévoyant en assurance-invalidité un abattement forfaitaire systématique de 10% - respectivement de 20% pour les assurés les plus diminués - sur les revenus de valide n’était pas applicable, par analogie, au contentieux de l’assurance-accidents. En effet, dans la mesure où cette disposition n’a pas été introduite dans la LPGA ou dans l'OPGA, elle ne concerne que l’assurance-invalidité à l’exclusion des autres assurances sociales. Si le législateur entendait procéder à un abattement automatique de manière générale, une modification aurait été consacrée en lien avec la notion de taux d’invalidité consacrée à l’art. 16 LPGA. Par conséquent, il ne se justifie pas d’appliquer l’art. 26bis al. 3 RAI à l’assurance-accidents, pour laquelle seule reste dès lors déterminante la jurisprudence relative à l’art. 16 LPGA (voir notamment MOSER-SZELESS/CASTELLA, Commentaire romand LPGA, 2e éd. 2025, art. 16 n. 11b). Le rapport explicatif du Département fédéral de l’intérieur relatif à la modification du RAI précise au demeurant que, dans la mesure où seule la législation sur l’assurance-invalidité prévoit une norme de délégation pour l’instauration de la nouvelle déduction forfaitaire, une telle déduction ne peut pas être introduite au niveau règlementaire dans l’assurance-accidents, ce qui signifie qu’elle n’est pas applicable (Rapport explicatif du Département fédéral de l’intérieur du 18 octobre 2023 relatif à la modification du RAI, n. 6.3 let. c p. 18).</w:t>
      </w:r>
    </w:p>
    <w:p>
      <w:r>
        <w:rPr>
          <w:b/>
        </w:rPr>
        <w:t>E. 4</w:t>
      </w:r>
    </w:p>
    <w:p>
      <w:r>
        <w:t>Objet du litige Est en l’espèce uniquement litigieuse la prise en compte d’un désavantage salarial de 20% à opérer, par abattement, sur le revenu d’invalide dans le cadre du calcul du taux d’invalidité. Le recourant se prévaut, d’une part, de concrètement subir un tel désavantage salarial au vu de son handicap et de sa situation personnelle.</w:t>
      </w:r>
    </w:p>
    <w:p>
      <w:r>
        <w:t>Tribunal cantonal TC Page 6 de 8 Il soutient, d’autre part, que l’abattement forfaitaire systématique de 20%, prévu en matière d’assurance-invalidité par l’art. 26bis al. 3 RAI pour les assurés invalides ne disposant plus d’une capacité de travail égale ou supérieur à 50%, devrait être appliqué à son cas, par analogie. Qu’en est-il ?</w:t>
      </w:r>
    </w:p>
    <w:p>
      <w:r>
        <w:rPr>
          <w:b/>
        </w:rPr>
        <w:t>E. 4.1</w:t>
      </w:r>
    </w:p>
    <w:p>
      <w:r>
        <w:t>Application de l’art. 26bis al. 3 RAI au contentieux de l’assurance-accidents La Cour de céans a déjà eu l’occasion de se déterminer sur la question d’opérer, par analogie, comme en assurance-invalidité, un abattement forfaitaire systématique de 10% ou, cas échéant et comme en l’espèce, de 20% sur le revenu statistique d’invalide. Elle a répondu par la négative à cette question, faisant tout d’abord valoir que le législateur n’avait pas souhaité étendre cette disposition au domaine de l’assurance-accidents, comme il aurait pu le faire en l’intégrant au système de la partie générale des assurances sociales. Ce qui paraît logique. En effet, comme la Cour de céans s’est déjà plu à le relever, procéder à un abattement forfaitaire systématique de 10% ou de 20% en assurance-accidents - laquelle reconnait déjà un droit à la rente à partir d’un taux d’invalidité de 10% -, cela reviendrait, par ailleurs et surtout, à fausser le système de calcul en octroyant des petites rentes d’invalidité exclusivement fondées sur des facteurs étrangers aux conséquences de l’accident. Que le Tribunal cantonal tessinois n’envisage pas les choses ainsi ne saurait engager la Cour de céans. Cela étant, dans le jugement du 24 mars 2025 dont se prévaut le recourant à l’appui de son recours, il n’apparait pas clairement que la Cour tessinoise ait procédé à - ou confirmé - un abattement forfaitaire systématique sur le revenu d’invalide.</w:t>
      </w:r>
    </w:p>
    <w:p>
      <w:r>
        <w:rPr>
          <w:b/>
        </w:rPr>
        <w:t>E. 4.2</w:t>
      </w:r>
    </w:p>
    <w:p>
      <w:r>
        <w:t>Désavantage salarial concret Il reste à déterminer s’il existe néanmoins des critères concrets dont pourrait se prévaloir le recourant afin qu’il soit tout de même procédé à un abattement du revenu statistique d’invalide. Les limitations retenues par le médecin d’assurance le Dr B.________, exposées dans la décision sur opposition et nullement contestées par le recourant, sont les suivantes : « la capacité de travail de l’assuré en tant que chauffeur poids lourd est nulle. Toutefois, une activité de type léger, avec un port de charges limité à 10-15 kg, permettant l’alternance des positions assise et debout et surtout une adaptation de la place de travail permettant de se rendre régulièrement aux toilettes permettrait à l’assuré de travailler à 50% avec un rendement probablement maximal de 50% » (appréciation du 21 juillet 2023, dossier Suva pièce 204). Dans une appréciation complémentaire du 8 décembre 2023, ce dernier spécialiste a précisé, à propos de l’exigibilité qu’il avait retenue, qu’il « voulait parler d’une capacité de travail de 100% avec un rendement de 50% en raison de devoir adapter la place de travail pour le problème intestinal » (dossier Suva, pièce 223). La Suva a, sur cette base, retenu un revenu d’invalide exigible de CHF 33'949.-, fondé sur une perte de rendement de 50%, estimant que celle-ci couvrait, sur le principe, tout désavantage salarial éventuellement subi par le recourant.</w:t>
      </w:r>
    </w:p>
    <w:p>
      <w:r>
        <w:t>Tribunal cantonal TC Page 7 de 8 Ce dernier n’est pas d’accord et considère qu’il faut encore tenir compte du fait qu’il n’est titulaire que d’un permis B, qu’il ne possède aucune formation professionnelle, qu’il maîtrise mal les langues nationales et qu’il n’a effectué que des travaux lourds en Suisse. Or, c’est le lieu de constater que l’activité retenue par la Suva se fondait sur le niveau de compétence le plus bas visant précisément les activités simples et répétitives ne requérant ni formation, ni expérience professionnelle spécifique, ni même la maîtrise des langues, et pour l’exercice desquels un permis B ne saurait a priori constituer un obstacle administratif ou économique susceptible de réduire les perspectives salariales du recourant (cf. sur ce point, arrêt TF 8C_782/2023 du</w:t>
      </w:r>
    </w:p>
    <w:p>
      <w:r>
        <w:rPr>
          <w:b/>
        </w:rPr>
        <w:t>E. 6</w:t>
      </w:r>
    </w:p>
    <w:p>
      <w:r>
        <w:t>juin 2024 consid. 5.3), à tout le moins pas davantage qu’il n’était susceptible de les réduire dans l’exercice de l’activité de chauffeur. Aucun des critères allégués par le recourant, constituant par ailleurs probablement des facteurs étrangers à l’accident, ne saurait dès lors en l’espèce engager la responsabilité de l’assurance- accidents. La perte de rendement de 50%, uniquement motivée par les conséquences de l’atteinte abdominale contraignant le recourant à se rendre plus fréquemment aux toilettes, paraît enfin suffisamment large en l’espèce, ce dernier n’ayant jamais soutenu - et cela n’est pas médicalement attesté - qu’il allait devoir consacrer la moitié de son temps de travail à l’évacuation de son système digestif, le Dr B.________ ayant essentiellement retenu, dans son appréciation médicale non contestée du 21 juillet 2023 que : « du point de vue abdominal, après la fermeture secondaire de la stomie iléo- transverse, l’évolution est marquée par la persistance de diarrhées importantes et les différentes investigations abdominales effectuées n’ont pas permis de poser un diagnostic de certitude à ce niveau-là. Le patient est d’ailleurs sous traitement d’Immodium à ce niveau-là » (dossier Suva, pièce 204). On rappellera encore que, d’un point de vue médical, il n’y a pas de limitation de la capacité de travail du recourant dans le cadre de l’activité exigible retenue par la Suva, mais une seule perte de rendement. Dès lors, aucun abattement pour cause de désavantage salarial n’avait à être encore opéré sur le revenu statistique d’invalide, la Suva possédant au demeurant sur ce point un large pouvoir d’appréciation qu’elle n’a, de toute évidence, pas outrepassé. 5. Issue du litige et sort du recours Les griefs soulevés ayant été écartés, le recours s’avère infondé et doit être rejeté. La décision sur opposition est, partant, confirmée. La procédure étant gratuite en matière de droit aux prestations, il n’est enfin pas perçu de frais de justice.</w:t>
      </w:r>
    </w:p>
    <w:p>
      <w:r>
        <w:t>Tribunal cantonal TC Page 8 de 8 Aucune indemnité de partie n’est enfin allouée au recourant. Il n'est pas non plus alloué d’indemnité de partie à l'autorité intimée, chargée de tâches de droit public (cf. arrêts TF 8C_552/2009 du 8 avril 2010 consid. 6 et 9C_312/2008 du 24 novembre 2008 consid. 8 et la référence citée).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février 2026/mbo EXPED-SIGN-01 EXPED-SIGN-02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